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7"/>
        <w:ind w:firstLine="284"/>
        <w:jc w:val="righ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10</w:t>
      </w:r>
      <w:r>
        <w:rPr>
          <w:sz w:val="22"/>
          <w:szCs w:val="22"/>
        </w:rPr>
        <w:t xml:space="preserve"> к Договору подряда</w:t>
      </w:r>
      <w:bookmarkStart w:id="0" w:name="_GoBack"/>
      <w:r/>
      <w:bookmarkEnd w:id="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7"/>
        <w:ind w:firstLine="284"/>
        <w:jc w:val="righ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№_______________ </w:t>
      </w:r>
      <w:r>
        <w:rPr>
          <w:sz w:val="22"/>
          <w:szCs w:val="22"/>
        </w:rPr>
        <w:t xml:space="preserve">от «____» ____________20__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67"/>
        <w:ind w:firstLine="284"/>
        <w:jc w:val="both"/>
      </w:pPr>
      <w:r>
        <w:t xml:space="preserve"> </w:t>
      </w:r>
      <w:r/>
    </w:p>
    <w:p>
      <w:pPr>
        <w:pStyle w:val="967"/>
        <w:ind w:firstLine="284"/>
        <w:jc w:val="both"/>
      </w:pPr>
      <w:r>
        <w:t xml:space="preserve">                                                               </w:t>
      </w:r>
      <w:r/>
    </w:p>
    <w:p>
      <w:pPr>
        <w:pStyle w:val="967"/>
        <w:ind w:firstLine="284"/>
        <w:jc w:val="center"/>
        <w:rPr>
          <w:b/>
        </w:rPr>
      </w:pPr>
      <w:r>
        <w:rPr>
          <w:b/>
        </w:rPr>
        <w:t xml:space="preserve">Перечень исполнительной документации </w:t>
      </w:r>
      <w:r>
        <w:rPr>
          <w:b/>
        </w:rPr>
      </w:r>
      <w:r>
        <w:rPr>
          <w:b/>
        </w:rPr>
      </w:r>
    </w:p>
    <w:p>
      <w:pPr>
        <w:pStyle w:val="967"/>
        <w:ind w:firstLine="284"/>
        <w:jc w:val="center"/>
        <w:spacing w:line="276" w:lineRule="auto"/>
      </w:pPr>
      <w:r>
        <w:t xml:space="preserve"> предоставляемой Подрядчиком при оформлении Актов КС-2 по объекту</w:t>
      </w:r>
      <w:r>
        <w:rPr>
          <w:b/>
        </w:rPr>
        <w:t xml:space="preserve"> </w:t>
      </w:r>
      <w:r>
        <w:rPr>
          <w:b/>
          <w:bCs/>
        </w:rPr>
        <w:t xml:space="preserve">«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ОКПД 2 43.29.1 Выполнение строительно-монтажных работ по объекту: строительство площадки для хранения металлолома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 территории Комсомольской ТЭЦ-3 в рамках реализации инвестиционного проекта P_505-КТЭЦ3-20, г. Комсомольск-на Амуре</w:t>
      </w:r>
      <w:r>
        <w:rPr>
          <w:b/>
          <w:bCs/>
        </w:rPr>
        <w:t xml:space="preserve">»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/>
    </w:p>
    <w:p>
      <w:pPr>
        <w:pStyle w:val="967"/>
        <w:ind w:firstLine="284"/>
        <w:jc w:val="center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67"/>
        <w:ind w:firstLine="284"/>
        <w:jc w:val="center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67"/>
        <w:ind w:firstLine="567"/>
        <w:rPr>
          <w:b/>
          <w:bCs/>
        </w:rPr>
      </w:pPr>
      <w:r>
        <w:rPr>
          <w:b/>
          <w:bCs/>
        </w:rPr>
        <w:t xml:space="preserve">Общие документы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6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Приказ о назначении руководителей производства строительно-монтажных работ подрядной организации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Приказ о назначении ответственных лиц за производство работ на объекте и осуществление строительного контроля подрядной организац</w:t>
      </w:r>
      <w:r>
        <w:rPr>
          <w:sz w:val="24"/>
          <w:szCs w:val="24"/>
        </w:rPr>
        <w:t xml:space="preserve">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Перечень организаций и ответственных лиц субподрядных организаций, участвующих в строительстве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Проект производства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Копии удостоверений электротехнического персонала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Реестр исполнительной документации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Ведомость изме</w:t>
      </w:r>
      <w:r>
        <w:rPr>
          <w:sz w:val="24"/>
          <w:szCs w:val="24"/>
        </w:rPr>
        <w:t xml:space="preserve">нений и отступлений от проекта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Паспорта и сертификаты качества на изделия и материалы, примененные при монтаже, комплект заводской документации на монтируемое электрооборудование и оборудование пожарной сигнализации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6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Счета-фактуры на изделия, материалы и оборудование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68"/>
        <w:numPr>
          <w:ilvl w:val="0"/>
          <w:numId w:val="6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Акт приемки комиссией законченного строительством объекта капитального строительства (формируется Заказчиком, подписывается Исполнителем и Заказчиком).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spacing w:after="200" w:line="283" w:lineRule="atLeast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contextualSpacing/>
        <w:jc w:val="both"/>
        <w:spacing w:before="0" w:after="0" w:line="283" w:lineRule="atLeast"/>
        <w:rPr>
          <w:b/>
          <w:bCs/>
          <w:sz w:val="24"/>
          <w:szCs w:val="24"/>
          <w:highlight w:val="none"/>
        </w:rPr>
        <w:suppressLineNumbers w:val="0"/>
      </w:pPr>
      <w:r>
        <w:rPr>
          <w:b/>
          <w:bCs/>
          <w:sz w:val="24"/>
          <w:szCs w:val="24"/>
          <w:highlight w:val="none"/>
        </w:rPr>
        <w:t xml:space="preserve">Перечень журналов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966"/>
        <w:numPr>
          <w:ilvl w:val="0"/>
          <w:numId w:val="44"/>
        </w:numPr>
        <w:contextualSpacing/>
        <w:ind w:left="850" w:right="0" w:hanging="283"/>
        <w:spacing w:after="200" w:line="283" w:lineRule="atLeast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highlight w:val="none"/>
        </w:rPr>
        <w:t xml:space="preserve">Общий </w:t>
      </w:r>
      <w:r>
        <w:rPr>
          <w:b w:val="0"/>
          <w:bCs w:val="0"/>
          <w:sz w:val="24"/>
          <w:szCs w:val="24"/>
          <w:highlight w:val="none"/>
        </w:rPr>
        <w:t xml:space="preserve">журнал работ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авторского надзора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сварочных работ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антикоррозийной защиты сварных соединений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бетонных работ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прокладки кабелей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Журнал и комиссионные акты входного контроля качества материалов и обо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рудования,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закупаемых Подрядчиком (в произвольной форме), на соответствие продукции требованиям технической документации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contextualSpacing/>
        <w:jc w:val="both"/>
        <w:spacing w:before="0" w:after="0" w:line="240" w:lineRule="auto"/>
        <w:rPr>
          <w:b/>
          <w:bCs/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</w:r>
      <w:r>
        <w:rPr>
          <w:b/>
          <w:bCs/>
          <w:sz w:val="24"/>
          <w:szCs w:val="24"/>
        </w:rPr>
        <w:t xml:space="preserve">Акты освидетельствования скрытых работ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966"/>
        <w:numPr>
          <w:ilvl w:val="0"/>
          <w:numId w:val="8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Вертикальная планировка: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9"/>
        </w:numPr>
        <w:contextualSpacing/>
        <w:spacing w:after="200" w:line="24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Акт на устройство насыпи и выемки;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9"/>
        </w:numPr>
        <w:contextualSpacing/>
        <w:spacing w:after="200" w:line="24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Акт на уплотнение насыпи.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ind w:left="850" w:right="0" w:hanging="283"/>
        <w:jc w:val="both"/>
        <w:spacing w:before="0" w:after="0" w:line="276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2. </w:t>
      </w:r>
      <w:r>
        <w:rPr>
          <w:b w:val="0"/>
          <w:bCs w:val="0"/>
          <w:sz w:val="24"/>
          <w:szCs w:val="24"/>
          <w:highlight w:val="none"/>
        </w:rPr>
        <w:t xml:space="preserve">Подготовка основания</w:t>
      </w:r>
      <w:r>
        <w:rPr>
          <w:b w:val="0"/>
          <w:bCs w:val="0"/>
          <w:sz w:val="24"/>
          <w:szCs w:val="24"/>
          <w:highlight w:val="none"/>
        </w:rPr>
        <w:t xml:space="preserve">: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10"/>
        </w:numPr>
        <w:contextualSpacing/>
        <w:ind w:right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Акт освидетельствования грунтов основания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10"/>
        </w:numPr>
        <w:contextualSpacing/>
        <w:ind w:right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Акт на устройство бетонной подготовки.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ind w:left="850" w:right="0" w:hanging="283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3. Погружение сборных ж.б. свай: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8"/>
        </w:numPr>
        <w:contextualSpacing/>
        <w:ind w:left="0" w:right="0" w:firstLine="283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Акт на бурение лидерных скважин;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8"/>
        </w:numPr>
        <w:contextualSpacing/>
        <w:ind w:left="0" w:right="0" w:firstLine="283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Акт на задавливание свай;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48"/>
        </w:numPr>
        <w:contextualSpacing/>
        <w:ind w:left="0" w:right="0" w:firstLine="283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Акт приемки свай (осмотр до погружения).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contextualSpacing/>
        <w:ind w:left="850" w:right="0" w:hanging="283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contextualSpacing/>
        <w:ind w:left="850" w:right="0" w:hanging="283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4. </w:t>
      </w:r>
      <w:r>
        <w:rPr>
          <w:b w:val="0"/>
          <w:bCs w:val="0"/>
          <w:sz w:val="24"/>
          <w:szCs w:val="24"/>
          <w:highlight w:val="none"/>
        </w:rPr>
        <w:t xml:space="preserve">Разработка котлована и траншей</w:t>
      </w:r>
      <w:r>
        <w:rPr>
          <w:b w:val="0"/>
          <w:bCs w:val="0"/>
          <w:sz w:val="24"/>
          <w:szCs w:val="24"/>
          <w:highlight w:val="none"/>
        </w:rPr>
        <w:t xml:space="preserve">: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11"/>
        </w:numPr>
        <w:contextualSpacing/>
        <w:ind w:right="0"/>
        <w:spacing w:after="200" w:line="24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Акты на разработку котлованов и траншей;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ind w:left="850" w:right="0" w:hanging="283"/>
        <w:jc w:val="both"/>
        <w:spacing w:before="0" w:after="0" w:line="276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5. </w:t>
      </w:r>
      <w:r>
        <w:rPr>
          <w:b w:val="0"/>
          <w:bCs w:val="0"/>
          <w:sz w:val="24"/>
          <w:szCs w:val="24"/>
          <w:highlight w:val="none"/>
        </w:rPr>
        <w:t xml:space="preserve">Обратная засыпка</w:t>
      </w:r>
      <w:r>
        <w:rPr>
          <w:b w:val="0"/>
          <w:bCs w:val="0"/>
          <w:sz w:val="24"/>
          <w:szCs w:val="24"/>
          <w:highlight w:val="none"/>
        </w:rPr>
        <w:t xml:space="preserve">: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12"/>
        </w:numPr>
        <w:contextualSpacing/>
        <w:ind w:right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Акт на обратную засыпку.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6. </w:t>
      </w:r>
      <w:r>
        <w:rPr>
          <w:b w:val="0"/>
          <w:bCs w:val="0"/>
          <w:sz w:val="24"/>
          <w:szCs w:val="24"/>
          <w:highlight w:val="none"/>
        </w:rPr>
        <w:t xml:space="preserve">Устройство монолитных ж.б. </w:t>
      </w:r>
      <w:r>
        <w:rPr>
          <w:b w:val="0"/>
          <w:bCs w:val="0"/>
          <w:sz w:val="24"/>
          <w:szCs w:val="24"/>
          <w:highlight w:val="none"/>
        </w:rPr>
        <w:t xml:space="preserve">конструкций</w:t>
      </w:r>
      <w: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966"/>
        <w:numPr>
          <w:ilvl w:val="0"/>
          <w:numId w:val="15"/>
        </w:numPr>
        <w:contextualSpacing/>
        <w:ind w:right="0"/>
        <w:spacing w:after="200" w:line="276" w:lineRule="auto"/>
        <w:rPr>
          <w:highlight w:val="none"/>
        </w:rPr>
      </w:pPr>
      <w:r>
        <w:rPr>
          <w:highlight w:val="none"/>
        </w:rPr>
        <w:t xml:space="preserve">Акт на установку опалубки </w:t>
      </w:r>
      <w:r>
        <w:rPr>
          <w:highlight w:val="none"/>
        </w:rPr>
        <w:t xml:space="preserve">(освидетельствование перед </w:t>
      </w:r>
      <w:r>
        <w:rPr>
          <w:highlight w:val="none"/>
        </w:rPr>
        <w:t xml:space="preserve">бетонированием);</w:t>
      </w:r>
      <w:r>
        <w:rPr>
          <w:highlight w:val="none"/>
        </w:rPr>
      </w:r>
      <w:r>
        <w:rPr>
          <w:highlight w:val="none"/>
        </w:rPr>
      </w:r>
    </w:p>
    <w:p>
      <w:pPr>
        <w:pStyle w:val="966"/>
        <w:numPr>
          <w:ilvl w:val="0"/>
          <w:numId w:val="15"/>
        </w:numPr>
        <w:contextualSpacing/>
        <w:ind w:right="0"/>
        <w:spacing w:after="200" w:line="276" w:lineRule="auto"/>
        <w:rPr>
          <w:highlight w:val="none"/>
        </w:rPr>
      </w:pPr>
      <w:r>
        <w:rPr>
          <w:highlight w:val="none"/>
        </w:rPr>
        <w:t xml:space="preserve">Акт на армирование монолитных ж.б. </w:t>
      </w:r>
      <w:r>
        <w:rPr>
          <w:highlight w:val="none"/>
        </w:rPr>
        <w:t xml:space="preserve">конструкций;</w:t>
      </w:r>
      <w:r>
        <w:rPr>
          <w:highlight w:val="none"/>
        </w:rPr>
      </w:r>
      <w:r>
        <w:rPr>
          <w:highlight w:val="none"/>
        </w:rPr>
      </w:r>
    </w:p>
    <w:p>
      <w:pPr>
        <w:pStyle w:val="966"/>
        <w:numPr>
          <w:ilvl w:val="0"/>
          <w:numId w:val="15"/>
        </w:numPr>
        <w:contextualSpacing/>
        <w:ind w:right="0"/>
        <w:spacing w:after="200"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Акт на бетонирование монолитных ж.б. </w:t>
      </w:r>
      <w:r>
        <w:rPr>
          <w:highlight w:val="none"/>
        </w:rPr>
        <w:t xml:space="preserve">конструкций;</w:t>
      </w:r>
      <w:r>
        <w:rPr>
          <w:highlight w:val="none"/>
        </w:rPr>
      </w:r>
      <w:r>
        <w:rPr>
          <w:highlight w:val="none"/>
        </w:rPr>
      </w:r>
    </w:p>
    <w:p>
      <w:pPr>
        <w:pStyle w:val="966"/>
        <w:numPr>
          <w:ilvl w:val="0"/>
          <w:numId w:val="15"/>
        </w:numPr>
        <w:contextualSpacing/>
        <w:ind w:right="0"/>
        <w:spacing w:after="200"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Акт на устройство монолитных ж.б. </w:t>
      </w:r>
      <w:r>
        <w:rPr>
          <w:highlight w:val="none"/>
        </w:rPr>
        <w:t xml:space="preserve">конструкций, выполняемых в зимнее время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7. </w:t>
      </w:r>
      <w:r>
        <w:rPr>
          <w:sz w:val="24"/>
          <w:szCs w:val="24"/>
          <w:highlight w:val="none"/>
        </w:rPr>
        <w:t xml:space="preserve">Гидроизоляция</w:t>
      </w:r>
      <w:r>
        <w:rPr>
          <w:sz w:val="24"/>
          <w:szCs w:val="24"/>
          <w:highlight w:val="none"/>
        </w:rPr>
        <w:t xml:space="preserve">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17"/>
        </w:numPr>
        <w:contextualSpacing/>
        <w:ind w:right="0"/>
        <w:spacing w:after="200" w:line="276" w:lineRule="auto"/>
        <w:rPr>
          <w:highlight w:val="none"/>
        </w:rPr>
      </w:pPr>
      <w:r>
        <w:rPr>
          <w:highlight w:val="none"/>
        </w:rPr>
        <w:t xml:space="preserve">Акт на гидроизоляцию конструкций подземной </w:t>
      </w:r>
      <w:r>
        <w:rPr>
          <w:highlight w:val="none"/>
        </w:rPr>
        <w:t xml:space="preserve">части здания;</w:t>
      </w:r>
      <w:r>
        <w:rPr>
          <w:highlight w:val="none"/>
        </w:rPr>
      </w:r>
      <w:r>
        <w:rPr>
          <w:highlight w:val="none"/>
        </w:rPr>
      </w:r>
    </w:p>
    <w:p>
      <w:pPr>
        <w:pStyle w:val="966"/>
        <w:numPr>
          <w:ilvl w:val="0"/>
          <w:numId w:val="16"/>
        </w:numPr>
        <w:contextualSpacing/>
        <w:ind w:right="0"/>
        <w:spacing w:after="200"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Акт на гидроизоляцию фундаментов.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8. </w:t>
      </w:r>
      <w:r>
        <w:rPr>
          <w:sz w:val="24"/>
          <w:szCs w:val="24"/>
          <w:highlight w:val="none"/>
        </w:rPr>
        <w:t xml:space="preserve">Монтаж сборных ж.б. конструкций</w:t>
      </w:r>
      <w:r>
        <w:rPr>
          <w:sz w:val="24"/>
          <w:szCs w:val="24"/>
          <w:highlight w:val="none"/>
        </w:rPr>
        <w:t xml:space="preserve">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50"/>
        </w:numPr>
        <w:contextualSpacing/>
        <w:ind w:left="0" w:right="0" w:firstLine="283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Акт на монтаж сборных ж.б. конструкций колодцев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9. </w:t>
      </w:r>
      <w:r>
        <w:rPr>
          <w:sz w:val="24"/>
          <w:szCs w:val="24"/>
          <w:highlight w:val="none"/>
        </w:rPr>
        <w:t xml:space="preserve">Монтаж резервуаров</w:t>
      </w:r>
      <w:r>
        <w:rPr>
          <w:sz w:val="24"/>
          <w:szCs w:val="24"/>
          <w:highlight w:val="none"/>
        </w:rPr>
        <w:t xml:space="preserve">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18"/>
        </w:numPr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Акт на монтаж резервуаров;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18"/>
        </w:numPr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Акт на крепление резервуаров к фундаменту;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18"/>
        </w:numPr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Акт на обратную засыпку песком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10. Монтаж блоков полной заводской готовности: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51"/>
        </w:numPr>
        <w:contextualSpacing/>
        <w:ind w:left="0" w:right="0" w:firstLine="283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Акт на монтаж блоков;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51"/>
        </w:numPr>
        <w:contextualSpacing/>
        <w:ind w:left="0" w:right="0" w:firstLine="283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Акт на крепление блоков к фундаменту и между собой (в случае необходимости).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highlight w:val="none"/>
        </w:rPr>
        <w:suppressLineNumbers w:val="0"/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11. </w:t>
      </w:r>
      <w:r>
        <w:rPr>
          <w:sz w:val="24"/>
          <w:szCs w:val="24"/>
          <w:highlight w:val="none"/>
        </w:rPr>
        <w:t xml:space="preserve">Устройство покрытия тротуаров, проездов и площадок</w:t>
      </w:r>
      <w:r>
        <w:rPr>
          <w:sz w:val="24"/>
          <w:szCs w:val="24"/>
          <w:highlight w:val="none"/>
        </w:rPr>
        <w:t xml:space="preserve">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21"/>
        </w:numPr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Акт на устройство земляного корыта;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21"/>
        </w:numPr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Акт на уплотнение основания;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21"/>
        </w:numPr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Акт на устройство подготовки;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21"/>
        </w:numPr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Акт устройства верхнего покрытия тротуаров, площадок, проездов;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6"/>
        <w:numPr>
          <w:ilvl w:val="0"/>
          <w:numId w:val="21"/>
        </w:numPr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Акт на устройство подгрунтовки.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left="709" w:right="0" w:hanging="142"/>
        <w:jc w:val="both"/>
        <w:spacing w:before="0" w:after="0" w:line="276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  <w:t xml:space="preserve">12. </w:t>
      </w:r>
      <w:r>
        <w:rPr>
          <w:color w:val="auto"/>
          <w:sz w:val="24"/>
          <w:szCs w:val="24"/>
          <w:highlight w:val="none"/>
        </w:rPr>
        <w:t xml:space="preserve">Прокладка подземных наружных </w:t>
      </w:r>
      <w:r>
        <w:rPr>
          <w:color w:val="auto"/>
          <w:sz w:val="24"/>
          <w:szCs w:val="24"/>
          <w:highlight w:val="none"/>
        </w:rPr>
        <w:t xml:space="preserve">инженерных коммуникаций</w:t>
      </w:r>
      <w:r>
        <w:rPr>
          <w:color w:val="auto"/>
          <w:sz w:val="24"/>
          <w:szCs w:val="24"/>
        </w:rPr>
        <w:t xml:space="preserve">: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966"/>
        <w:numPr>
          <w:ilvl w:val="0"/>
          <w:numId w:val="27"/>
        </w:numPr>
        <w:contextualSpacing/>
        <w:ind w:right="0"/>
        <w:spacing w:after="200" w:line="276" w:lineRule="auto"/>
        <w:rPr>
          <w:color w:val="auto"/>
        </w:rPr>
      </w:pPr>
      <w:r>
        <w:rPr>
          <w:color w:val="auto"/>
          <w:highlight w:val="none"/>
        </w:rPr>
        <w:t xml:space="preserve">Акт осмотра открытых траншей для укладки </w:t>
      </w:r>
      <w:r>
        <w:rPr>
          <w:color w:val="auto"/>
          <w:highlight w:val="none"/>
        </w:rPr>
        <w:t xml:space="preserve">подземных инженерных коммуникаций;</w:t>
      </w:r>
      <w:r>
        <w:rPr>
          <w:color w:val="auto"/>
        </w:rPr>
      </w:r>
      <w:r>
        <w:rPr>
          <w:color w:val="auto"/>
        </w:rPr>
      </w:r>
    </w:p>
    <w:p>
      <w:pPr>
        <w:pStyle w:val="966"/>
        <w:numPr>
          <w:ilvl w:val="0"/>
          <w:numId w:val="27"/>
        </w:numPr>
        <w:contextualSpacing/>
        <w:ind w:right="0"/>
        <w:spacing w:after="200" w:line="276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Акт на присыпку вручную наружных </w:t>
      </w:r>
      <w:r>
        <w:rPr>
          <w:color w:val="auto"/>
          <w:highlight w:val="none"/>
        </w:rPr>
        <w:t xml:space="preserve">подземных трубопроводов и кабельных сетей;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966"/>
        <w:numPr>
          <w:ilvl w:val="0"/>
          <w:numId w:val="27"/>
        </w:numPr>
        <w:contextualSpacing/>
        <w:ind w:right="0"/>
        <w:spacing w:after="200" w:line="276" w:lineRule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  <w:t xml:space="preserve">Акт на сварку трубопровода и проверку </w:t>
      </w:r>
      <w:r>
        <w:rPr>
          <w:color w:val="auto"/>
          <w:highlight w:val="none"/>
        </w:rPr>
        <w:t xml:space="preserve">качества сварных стыков</w:t>
      </w:r>
      <w:r>
        <w:rPr>
          <w:color w:val="auto"/>
          <w:highlight w:val="none"/>
        </w:rPr>
        <w:t xml:space="preserve">;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966"/>
        <w:numPr>
          <w:ilvl w:val="0"/>
          <w:numId w:val="27"/>
        </w:numPr>
        <w:contextualSpacing/>
        <w:ind w:right="0"/>
        <w:spacing w:after="200" w:line="276" w:lineRule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  <w:t xml:space="preserve">Акт на изоляцию сварных стыков</w:t>
      </w:r>
      <w:r>
        <w:rPr>
          <w:color w:val="auto"/>
          <w:highlight w:val="none"/>
        </w:rPr>
        <w:t xml:space="preserve">;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966"/>
        <w:numPr>
          <w:ilvl w:val="0"/>
          <w:numId w:val="27"/>
        </w:numPr>
        <w:contextualSpacing/>
        <w:ind w:right="0"/>
        <w:spacing w:after="200" w:line="276" w:lineRule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  <w:t xml:space="preserve">Акт на укладку трубопроводов</w:t>
      </w:r>
      <w:r>
        <w:rPr>
          <w:color w:val="auto"/>
          <w:highlight w:val="none"/>
        </w:rPr>
        <w:t xml:space="preserve">;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966"/>
        <w:numPr>
          <w:ilvl w:val="0"/>
          <w:numId w:val="27"/>
        </w:numPr>
        <w:contextualSpacing/>
        <w:ind w:right="0"/>
        <w:spacing w:after="200" w:line="276" w:lineRule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  <w:t xml:space="preserve">Акт на проверку положения трубопровода </w:t>
      </w:r>
      <w:r>
        <w:rPr>
          <w:color w:val="auto"/>
          <w:highlight w:val="none"/>
        </w:rPr>
        <w:t xml:space="preserve">плане и по высоте;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966"/>
        <w:numPr>
          <w:ilvl w:val="0"/>
          <w:numId w:val="27"/>
        </w:numPr>
        <w:contextualSpacing/>
        <w:ind w:right="0"/>
        <w:spacing w:after="200" w:line="276" w:lineRule="auto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  <w:t xml:space="preserve">Акт на очистку полости, испытание </w:t>
      </w:r>
      <w:r>
        <w:rPr>
          <w:color w:val="auto"/>
          <w:highlight w:val="none"/>
        </w:rPr>
        <w:t xml:space="preserve">трубопровода</w:t>
      </w:r>
      <w:r>
        <w:rPr>
          <w:color w:val="auto"/>
          <w:highlight w:val="none"/>
        </w:rPr>
        <w:t xml:space="preserve">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contextualSpacing/>
        <w:ind w:left="709" w:right="0" w:firstLine="0"/>
        <w:jc w:val="both"/>
        <w:spacing w:before="0" w:after="0" w:line="276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13. Наружные сети водопровода и канализации: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52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Акт о проведении приемочного гидравлического испытания трубопровода на прочность и герметичность;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52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Акт испытания ЛОС;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52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Акт о проведении промывки и дезинфекции трубопроводов (сооружений).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ind w:left="709" w:right="0" w:firstLine="0"/>
        <w:jc w:val="both"/>
        <w:spacing w:before="0" w:after="0" w:line="276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14. Наружные сети электроснабжения: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53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Акт приема траншеи, каналов под монтаж кабелей;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53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Акт испытания силового кабеля напряжением выше 1000В;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53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Акт осмотра и проверки сопротивления изоляции кабелей на барабане перед прокладкой;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53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Акт прогрева кабелей на барабане перед прокладкой при низких температурах;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66"/>
        <w:numPr>
          <w:ilvl w:val="0"/>
          <w:numId w:val="53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Акт осмотра кабельной канализации в траншеях и каналах перед закрытием.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ind w:left="709" w:right="0" w:firstLine="0"/>
        <w:jc w:val="both"/>
        <w:spacing w:before="0" w:after="0" w:line="276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15. Наружное освещение: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66"/>
        <w:numPr>
          <w:ilvl w:val="0"/>
          <w:numId w:val="54"/>
        </w:numPr>
        <w:contextualSpacing/>
        <w:ind w:left="425" w:right="0" w:firstLine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Акт приемки системы освещения.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ind w:left="425" w:right="0" w:firstLine="283"/>
        <w:jc w:val="both"/>
        <w:spacing w:before="0" w:after="0" w:line="276" w:lineRule="auto"/>
        <w:rPr>
          <w:color w:val="ff0000" w:themeColor="text1"/>
          <w:sz w:val="24"/>
          <w:szCs w:val="24"/>
          <w:highlight w:val="none"/>
        </w:rPr>
        <w:suppressLineNumbers w:val="0"/>
      </w:pPr>
      <w:r>
        <w:rPr>
          <w:color w:val="000000" w:themeColor="text1"/>
          <w:sz w:val="24"/>
          <w:szCs w:val="24"/>
          <w:highlight w:val="none"/>
        </w:rPr>
        <w:t xml:space="preserve">16. </w:t>
      </w:r>
      <w:r>
        <w:rPr>
          <w:color w:val="000000" w:themeColor="text1"/>
          <w:sz w:val="24"/>
          <w:szCs w:val="24"/>
          <w:highlight w:val="none"/>
        </w:rPr>
        <w:t xml:space="preserve">Наружная система охранного телевидения</w:t>
      </w:r>
      <w:r>
        <w:rPr>
          <w:color w:val="000000" w:themeColor="text1"/>
          <w:sz w:val="24"/>
          <w:szCs w:val="24"/>
          <w:highlight w:val="none"/>
        </w:rPr>
        <w:t xml:space="preserve">:</w:t>
      </w:r>
      <w:r>
        <w:rPr>
          <w:color w:val="ff0000" w:themeColor="text1"/>
          <w:sz w:val="24"/>
          <w:szCs w:val="24"/>
          <w:highlight w:val="none"/>
        </w:rPr>
      </w:r>
      <w:r>
        <w:rPr>
          <w:color w:val="ff0000" w:themeColor="text1"/>
          <w:sz w:val="24"/>
          <w:szCs w:val="24"/>
          <w:highlight w:val="none"/>
        </w:rPr>
      </w:r>
    </w:p>
    <w:p>
      <w:pPr>
        <w:pStyle w:val="966"/>
        <w:numPr>
          <w:ilvl w:val="0"/>
          <w:numId w:val="55"/>
        </w:numPr>
        <w:contextualSpacing/>
        <w:ind w:left="425" w:right="0" w:firstLine="0"/>
        <w:spacing w:after="200" w:line="276" w:lineRule="auto"/>
        <w:rPr>
          <w:color w:val="ff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Акт приемки системы охранного телевидения;</w:t>
      </w:r>
      <w:r>
        <w:rPr>
          <w:color w:val="ff0000" w:themeColor="text1"/>
          <w:sz w:val="24"/>
          <w:szCs w:val="24"/>
          <w:highlight w:val="none"/>
        </w:rPr>
      </w:r>
      <w:r>
        <w:rPr>
          <w:color w:val="ff0000" w:themeColor="text1"/>
          <w:sz w:val="24"/>
          <w:szCs w:val="24"/>
          <w:highlight w:val="none"/>
        </w:rPr>
      </w:r>
    </w:p>
    <w:p>
      <w:pPr>
        <w:contextualSpacing/>
        <w:ind w:left="709" w:right="0" w:firstLine="0"/>
        <w:jc w:val="both"/>
        <w:spacing w:before="0" w:after="0" w:line="276" w:lineRule="auto"/>
        <w:rPr>
          <w:b/>
          <w:bCs/>
          <w:color w:val="000000" w:themeColor="text1"/>
        </w:rPr>
        <w:suppressLineNumbers w:val="0"/>
      </w:pPr>
      <w:r>
        <w:rPr>
          <w:b/>
          <w:bCs/>
          <w:color w:val="000000" w:themeColor="text1"/>
          <w:sz w:val="24"/>
          <w:szCs w:val="24"/>
          <w:highlight w:val="none"/>
        </w:rPr>
        <w:t xml:space="preserve">Состав исполнительной документации после монтажа </w:t>
      </w:r>
      <w:r>
        <w:rPr>
          <w:b/>
          <w:bCs/>
          <w:color w:val="000000" w:themeColor="text1"/>
          <w:sz w:val="24"/>
          <w:szCs w:val="24"/>
          <w:highlight w:val="none"/>
        </w:rPr>
        <w:t xml:space="preserve">мостового крана: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contextualSpacing/>
        <w:ind w:left="709" w:right="0" w:firstLine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1. Общий журнал работ и специальные журналы работ: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6"/>
        </w:numPr>
        <w:contextualSpacing/>
        <w:ind w:left="283" w:right="0" w:hanging="11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Общий журнал работ;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6"/>
        </w:numPr>
        <w:contextualSpacing/>
        <w:ind w:left="283" w:right="0" w:hanging="11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Журнал входного контроля качества;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contextualSpacing/>
        <w:ind w:left="709" w:right="0" w:firstLine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2. Исполнительные схемы: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8"/>
        </w:numPr>
        <w:contextualSpacing/>
        <w:ind w:left="425" w:right="0" w:firstLine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Исполнительная схема, подтверждающая соответствия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фактических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результатов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геометрических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размеров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смонтированного ПС требованиям, указанным изготовителем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ПС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contextualSpacing/>
        <w:ind w:left="992" w:right="0" w:hanging="425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3.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Акты освидетельствования скрытых работ, акты приемки и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испытаний: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передачи оборудования, изделий и материалов в монтаж;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освидетельствования скрытых работ (устройство опалубки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и армирования фундаментов; обратной засыпки);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освидетельствования скрытых работ приема фундамента;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сдачи-приемки надземного рельсового кранового пути в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эксплуатацию;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освидетельствования скрытых работ на сборку и монтаж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мостового крана;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освидетельствования скрытых работ на антикоррозионную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обработку сварных соединений мостового крана;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приемки антикоррозионного покрытия сварных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соединений;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highlight w:val="none"/>
        </w:rPr>
        <w:t xml:space="preserve">Акт выполнения монтажных работ в соответствии с эксплуатационной документацией;</w:t>
      </w:r>
      <w:r>
        <w:rPr>
          <w:b w:val="0"/>
          <w:bCs w:val="0"/>
          <w:color w:val="000000" w:themeColor="text1"/>
          <w:highlight w:val="none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качества монтажа электрооборудования крана;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проверки приборов безопасности крана;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о проведении испытаний в холостую;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Протокол статических испытаний мостового электрического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крана;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Протокол динамических испытаний мостового электрического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крана 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Протокол визуального осмотра крана;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Протокол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измерения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сопротивления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изоляции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электрооборудования;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Протокол наличия цепи между заземленными установками и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элементами заземленной установки (непрерывности защитных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проводников);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Свидетельство о регистрации электролаборатории;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о проведении пусконаладочных работ;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Справка о замене неработоспособных элементов;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технической готовности крана;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966"/>
        <w:numPr>
          <w:ilvl w:val="0"/>
          <w:numId w:val="57"/>
        </w:numPr>
        <w:contextualSpacing/>
        <w:ind w:right="0"/>
        <w:jc w:val="both"/>
        <w:spacing w:before="0" w:after="0" w:line="276" w:lineRule="auto"/>
        <w:rPr>
          <w:b w:val="0"/>
          <w:bCs w:val="0"/>
          <w:color w:val="000000" w:themeColor="text1"/>
        </w:rPr>
        <w:suppressLineNumbers w:val="0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Акт сдачи-приемки должен включать результаты планово-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высотной съемки пути.</w:t>
      </w: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contextualSpacing/>
        <w:ind w:left="709" w:right="0" w:firstLine="0"/>
        <w:spacing w:after="200" w:line="276" w:lineRule="auto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contextualSpacing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928"/>
        <w:gridCol w:w="4990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 / 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</w:t>
            </w:r>
            <w:r>
              <w:rPr>
                <w:sz w:val="24"/>
                <w:szCs w:val="24"/>
              </w:rPr>
              <w:t xml:space="preserve">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9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___________________/__________________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«_____»_______________20__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ind w:firstLine="0"/>
        <w:spacing w:after="200" w:line="276" w:lineRule="auto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9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70">
    <w:name w:val="Heading 1"/>
    <w:basedOn w:val="769"/>
    <w:next w:val="769"/>
    <w:link w:val="79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1">
    <w:name w:val="Heading 2"/>
    <w:basedOn w:val="769"/>
    <w:next w:val="769"/>
    <w:link w:val="80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2">
    <w:name w:val="Heading 3"/>
    <w:basedOn w:val="769"/>
    <w:next w:val="769"/>
    <w:link w:val="8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3">
    <w:name w:val="Heading 4"/>
    <w:basedOn w:val="769"/>
    <w:next w:val="769"/>
    <w:link w:val="8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4">
    <w:name w:val="Heading 5"/>
    <w:basedOn w:val="769"/>
    <w:next w:val="769"/>
    <w:link w:val="8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75">
    <w:name w:val="Heading 6"/>
    <w:basedOn w:val="769"/>
    <w:next w:val="769"/>
    <w:link w:val="8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6">
    <w:name w:val="Heading 7"/>
    <w:basedOn w:val="769"/>
    <w:next w:val="769"/>
    <w:link w:val="8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7">
    <w:name w:val="Heading 8"/>
    <w:basedOn w:val="769"/>
    <w:next w:val="769"/>
    <w:link w:val="8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8">
    <w:name w:val="Heading 9"/>
    <w:basedOn w:val="769"/>
    <w:next w:val="769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9" w:default="1">
    <w:name w:val="Default Paragraph Font"/>
    <w:uiPriority w:val="1"/>
    <w:semiHidden/>
    <w:unhideWhenUsed/>
  </w:style>
  <w:style w:type="table" w:styleId="7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1" w:default="1">
    <w:name w:val="No List"/>
    <w:uiPriority w:val="99"/>
    <w:semiHidden/>
    <w:unhideWhenUsed/>
  </w:style>
  <w:style w:type="character" w:styleId="782" w:customStyle="1">
    <w:name w:val="Heading 1 Char"/>
    <w:basedOn w:val="779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Heading 2 Char"/>
    <w:basedOn w:val="779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79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79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5 Char"/>
    <w:basedOn w:val="779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79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79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79"/>
    <w:uiPriority w:val="9"/>
    <w:rPr>
      <w:rFonts w:ascii="Arial" w:hAnsi="Arial" w:eastAsia="Arial" w:cs="Arial"/>
      <w:i/>
      <w:iCs/>
      <w:sz w:val="21"/>
      <w:szCs w:val="21"/>
    </w:rPr>
  </w:style>
  <w:style w:type="character" w:styleId="791" w:customStyle="1">
    <w:name w:val="Title Char"/>
    <w:basedOn w:val="779"/>
    <w:uiPriority w:val="10"/>
    <w:rPr>
      <w:sz w:val="48"/>
      <w:szCs w:val="48"/>
    </w:rPr>
  </w:style>
  <w:style w:type="character" w:styleId="792" w:customStyle="1">
    <w:name w:val="Subtitle Char"/>
    <w:basedOn w:val="779"/>
    <w:uiPriority w:val="11"/>
    <w:rPr>
      <w:sz w:val="24"/>
      <w:szCs w:val="24"/>
    </w:rPr>
  </w:style>
  <w:style w:type="character" w:styleId="793" w:customStyle="1">
    <w:name w:val="Quote Char"/>
    <w:uiPriority w:val="29"/>
    <w:rPr>
      <w:i/>
    </w:rPr>
  </w:style>
  <w:style w:type="character" w:styleId="794" w:customStyle="1">
    <w:name w:val="Intense Quote Char"/>
    <w:uiPriority w:val="30"/>
    <w:rPr>
      <w:i/>
    </w:rPr>
  </w:style>
  <w:style w:type="character" w:styleId="795" w:customStyle="1">
    <w:name w:val="Header Char"/>
    <w:basedOn w:val="779"/>
    <w:uiPriority w:val="99"/>
  </w:style>
  <w:style w:type="character" w:styleId="796" w:customStyle="1">
    <w:name w:val="Caption Char"/>
    <w:uiPriority w:val="99"/>
  </w:style>
  <w:style w:type="character" w:styleId="797" w:customStyle="1">
    <w:name w:val="Footnote Text Char"/>
    <w:uiPriority w:val="99"/>
    <w:rPr>
      <w:sz w:val="18"/>
    </w:rPr>
  </w:style>
  <w:style w:type="character" w:styleId="798" w:customStyle="1">
    <w:name w:val="Endnote Text Char"/>
    <w:uiPriority w:val="99"/>
    <w:rPr>
      <w:sz w:val="20"/>
    </w:rPr>
  </w:style>
  <w:style w:type="character" w:styleId="799" w:customStyle="1">
    <w:name w:val="Заголовок 1 Знак"/>
    <w:basedOn w:val="779"/>
    <w:link w:val="770"/>
    <w:uiPriority w:val="9"/>
    <w:rPr>
      <w:rFonts w:ascii="Arial" w:hAnsi="Arial" w:eastAsia="Arial" w:cs="Arial"/>
      <w:sz w:val="40"/>
      <w:szCs w:val="40"/>
    </w:rPr>
  </w:style>
  <w:style w:type="character" w:styleId="800" w:customStyle="1">
    <w:name w:val="Заголовок 2 Знак"/>
    <w:basedOn w:val="779"/>
    <w:link w:val="771"/>
    <w:uiPriority w:val="9"/>
    <w:rPr>
      <w:rFonts w:ascii="Arial" w:hAnsi="Arial" w:eastAsia="Arial" w:cs="Arial"/>
      <w:sz w:val="34"/>
    </w:rPr>
  </w:style>
  <w:style w:type="character" w:styleId="801" w:customStyle="1">
    <w:name w:val="Заголовок 3 Знак"/>
    <w:basedOn w:val="779"/>
    <w:link w:val="772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Заголовок 4 Знак"/>
    <w:basedOn w:val="779"/>
    <w:link w:val="773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Заголовок 5 Знак"/>
    <w:basedOn w:val="779"/>
    <w:link w:val="774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Заголовок 6 Знак"/>
    <w:basedOn w:val="779"/>
    <w:link w:val="775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Заголовок 7 Знак"/>
    <w:basedOn w:val="779"/>
    <w:link w:val="7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Заголовок 8 Знак"/>
    <w:basedOn w:val="779"/>
    <w:link w:val="777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Заголовок 9 Знак"/>
    <w:basedOn w:val="779"/>
    <w:link w:val="778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Title"/>
    <w:basedOn w:val="769"/>
    <w:next w:val="769"/>
    <w:link w:val="8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9" w:customStyle="1">
    <w:name w:val="Заголовок Знак"/>
    <w:basedOn w:val="779"/>
    <w:link w:val="808"/>
    <w:uiPriority w:val="10"/>
    <w:rPr>
      <w:sz w:val="48"/>
      <w:szCs w:val="48"/>
    </w:rPr>
  </w:style>
  <w:style w:type="paragraph" w:styleId="810">
    <w:name w:val="Subtitle"/>
    <w:basedOn w:val="769"/>
    <w:next w:val="769"/>
    <w:link w:val="811"/>
    <w:uiPriority w:val="11"/>
    <w:qFormat/>
    <w:pPr>
      <w:spacing w:before="200" w:after="200"/>
    </w:pPr>
    <w:rPr>
      <w:sz w:val="24"/>
      <w:szCs w:val="24"/>
    </w:rPr>
  </w:style>
  <w:style w:type="character" w:styleId="811" w:customStyle="1">
    <w:name w:val="Подзаголовок Знак"/>
    <w:basedOn w:val="779"/>
    <w:link w:val="810"/>
    <w:uiPriority w:val="11"/>
    <w:rPr>
      <w:sz w:val="24"/>
      <w:szCs w:val="24"/>
    </w:rPr>
  </w:style>
  <w:style w:type="paragraph" w:styleId="812">
    <w:name w:val="Quote"/>
    <w:basedOn w:val="769"/>
    <w:next w:val="769"/>
    <w:link w:val="813"/>
    <w:uiPriority w:val="29"/>
    <w:qFormat/>
    <w:pPr>
      <w:ind w:left="720" w:right="720"/>
    </w:pPr>
    <w:rPr>
      <w:i/>
    </w:rPr>
  </w:style>
  <w:style w:type="character" w:styleId="813" w:customStyle="1">
    <w:name w:val="Цитата 2 Знак"/>
    <w:link w:val="812"/>
    <w:uiPriority w:val="29"/>
    <w:rPr>
      <w:i/>
    </w:rPr>
  </w:style>
  <w:style w:type="paragraph" w:styleId="814">
    <w:name w:val="Intense Quote"/>
    <w:basedOn w:val="769"/>
    <w:next w:val="769"/>
    <w:link w:val="8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5" w:customStyle="1">
    <w:name w:val="Выделенная цитата Знак"/>
    <w:link w:val="814"/>
    <w:uiPriority w:val="30"/>
    <w:rPr>
      <w:i/>
    </w:rPr>
  </w:style>
  <w:style w:type="paragraph" w:styleId="816">
    <w:name w:val="Header"/>
    <w:basedOn w:val="769"/>
    <w:link w:val="817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817" w:customStyle="1">
    <w:name w:val="Верхний колонтитул Знак"/>
    <w:basedOn w:val="779"/>
    <w:link w:val="816"/>
    <w:uiPriority w:val="99"/>
  </w:style>
  <w:style w:type="paragraph" w:styleId="818">
    <w:name w:val="Footer"/>
    <w:basedOn w:val="769"/>
    <w:link w:val="82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819" w:customStyle="1">
    <w:name w:val="Footer Char"/>
    <w:basedOn w:val="779"/>
    <w:uiPriority w:val="99"/>
  </w:style>
  <w:style w:type="paragraph" w:styleId="820">
    <w:name w:val="Caption"/>
    <w:basedOn w:val="769"/>
    <w:next w:val="769"/>
    <w:link w:val="7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1" w:customStyle="1">
    <w:name w:val="Нижний колонтитул Знак"/>
    <w:link w:val="818"/>
    <w:uiPriority w:val="99"/>
  </w:style>
  <w:style w:type="table" w:styleId="822">
    <w:name w:val="Table Grid"/>
    <w:basedOn w:val="7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23" w:customStyle="1">
    <w:name w:val="Table Grid Light"/>
    <w:basedOn w:val="7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4">
    <w:name w:val="Plain Table 1"/>
    <w:basedOn w:val="7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>
    <w:name w:val="Plain Table 2"/>
    <w:basedOn w:val="78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>
    <w:name w:val="Plain Table 3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7">
    <w:name w:val="Plain Table 4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Plain Table 5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9">
    <w:name w:val="Grid Table 1 Light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4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1" w:customStyle="1">
    <w:name w:val="Grid Table 4 - Accent 1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2" w:customStyle="1">
    <w:name w:val="Grid Table 4 - Accent 2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3" w:customStyle="1">
    <w:name w:val="Grid Table 4 - Accent 3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4" w:customStyle="1">
    <w:name w:val="Grid Table 4 - Accent 4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5" w:customStyle="1">
    <w:name w:val="Grid Table 4 - Accent 5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6" w:customStyle="1">
    <w:name w:val="Grid Table 4 - Accent 6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7">
    <w:name w:val="Grid Table 5 Dark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4">
    <w:name w:val="Grid Table 6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5" w:customStyle="1">
    <w:name w:val="Grid Table 6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6" w:customStyle="1">
    <w:name w:val="Grid Table 6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7" w:customStyle="1">
    <w:name w:val="Grid Table 6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8" w:customStyle="1">
    <w:name w:val="Grid Table 6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9" w:customStyle="1">
    <w:name w:val="Grid Table 6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0" w:customStyle="1">
    <w:name w:val="Grid Table 6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>
    <w:name w:val="Grid Table 7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1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2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3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4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5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6"/>
    <w:basedOn w:val="7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2">
    <w:name w:val="List Table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5 Dark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>
    <w:name w:val="List Table 6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4" w:customStyle="1">
    <w:name w:val="List Table 6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5" w:customStyle="1">
    <w:name w:val="List Table 6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6" w:customStyle="1">
    <w:name w:val="List Table 6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7" w:customStyle="1">
    <w:name w:val="List Table 6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8" w:customStyle="1">
    <w:name w:val="List Table 6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9" w:customStyle="1">
    <w:name w:val="List Table 6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0">
    <w:name w:val="List Table 7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ned - Accent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8" w:customStyle="1">
    <w:name w:val="Lined - Accent 1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9" w:customStyle="1">
    <w:name w:val="Lined - Accent 2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0" w:customStyle="1">
    <w:name w:val="Lined - Accent 3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1" w:customStyle="1">
    <w:name w:val="Lined - Accent 4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2" w:customStyle="1">
    <w:name w:val="Lined - Accent 5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3" w:customStyle="1">
    <w:name w:val="Lined - Accent 6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4" w:customStyle="1">
    <w:name w:val="Bordered &amp; Lined - Accent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Bordered &amp; Lined - Accent 1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Bordered &amp; Lined - Accent 2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Bordered &amp; Lined - Accent 3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Bordered &amp; Lined - Accent 4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Bordered &amp; Lined - Accent 5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Bordered &amp; Lined - Accent 6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2" w:customStyle="1">
    <w:name w:val="Bordered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3" w:customStyle="1">
    <w:name w:val="Bordered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4" w:customStyle="1">
    <w:name w:val="Bordered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5" w:customStyle="1">
    <w:name w:val="Bordered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6" w:customStyle="1">
    <w:name w:val="Bordered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7" w:customStyle="1">
    <w:name w:val="Bordered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8">
    <w:name w:val="Hyperlink"/>
    <w:uiPriority w:val="99"/>
    <w:unhideWhenUsed/>
    <w:rPr>
      <w:color w:val="0000ff" w:themeColor="hyperlink"/>
      <w:u w:val="single"/>
    </w:rPr>
  </w:style>
  <w:style w:type="paragraph" w:styleId="949">
    <w:name w:val="footnote text"/>
    <w:basedOn w:val="769"/>
    <w:link w:val="950"/>
    <w:uiPriority w:val="99"/>
    <w:semiHidden/>
    <w:unhideWhenUsed/>
    <w:pPr>
      <w:spacing w:after="40" w:line="240" w:lineRule="auto"/>
    </w:pPr>
    <w:rPr>
      <w:sz w:val="18"/>
    </w:rPr>
  </w:style>
  <w:style w:type="character" w:styleId="950" w:customStyle="1">
    <w:name w:val="Текст сноски Знак"/>
    <w:link w:val="949"/>
    <w:uiPriority w:val="99"/>
    <w:rPr>
      <w:sz w:val="18"/>
    </w:rPr>
  </w:style>
  <w:style w:type="character" w:styleId="951">
    <w:name w:val="footnote reference"/>
    <w:basedOn w:val="779"/>
    <w:uiPriority w:val="99"/>
    <w:unhideWhenUsed/>
    <w:rPr>
      <w:vertAlign w:val="superscript"/>
    </w:rPr>
  </w:style>
  <w:style w:type="paragraph" w:styleId="952">
    <w:name w:val="endnote text"/>
    <w:basedOn w:val="769"/>
    <w:link w:val="953"/>
    <w:uiPriority w:val="99"/>
    <w:semiHidden/>
    <w:unhideWhenUsed/>
    <w:pPr>
      <w:spacing w:line="240" w:lineRule="auto"/>
    </w:pPr>
    <w:rPr>
      <w:sz w:val="20"/>
    </w:rPr>
  </w:style>
  <w:style w:type="character" w:styleId="953" w:customStyle="1">
    <w:name w:val="Текст концевой сноски Знак"/>
    <w:link w:val="952"/>
    <w:uiPriority w:val="99"/>
    <w:rPr>
      <w:sz w:val="20"/>
    </w:rPr>
  </w:style>
  <w:style w:type="character" w:styleId="954">
    <w:name w:val="endnote reference"/>
    <w:basedOn w:val="779"/>
    <w:uiPriority w:val="99"/>
    <w:semiHidden/>
    <w:unhideWhenUsed/>
    <w:rPr>
      <w:vertAlign w:val="superscript"/>
    </w:rPr>
  </w:style>
  <w:style w:type="paragraph" w:styleId="955">
    <w:name w:val="toc 1"/>
    <w:basedOn w:val="769"/>
    <w:next w:val="769"/>
    <w:uiPriority w:val="39"/>
    <w:unhideWhenUsed/>
    <w:pPr>
      <w:ind w:firstLine="0"/>
      <w:spacing w:after="57"/>
    </w:pPr>
  </w:style>
  <w:style w:type="paragraph" w:styleId="956">
    <w:name w:val="toc 2"/>
    <w:basedOn w:val="769"/>
    <w:next w:val="769"/>
    <w:uiPriority w:val="39"/>
    <w:unhideWhenUsed/>
    <w:pPr>
      <w:ind w:left="283" w:firstLine="0"/>
      <w:spacing w:after="57"/>
    </w:pPr>
  </w:style>
  <w:style w:type="paragraph" w:styleId="957">
    <w:name w:val="toc 3"/>
    <w:basedOn w:val="769"/>
    <w:next w:val="769"/>
    <w:uiPriority w:val="39"/>
    <w:unhideWhenUsed/>
    <w:pPr>
      <w:ind w:left="567" w:firstLine="0"/>
      <w:spacing w:after="57"/>
    </w:pPr>
  </w:style>
  <w:style w:type="paragraph" w:styleId="958">
    <w:name w:val="toc 4"/>
    <w:basedOn w:val="769"/>
    <w:next w:val="769"/>
    <w:uiPriority w:val="39"/>
    <w:unhideWhenUsed/>
    <w:pPr>
      <w:ind w:left="850" w:firstLine="0"/>
      <w:spacing w:after="57"/>
    </w:pPr>
  </w:style>
  <w:style w:type="paragraph" w:styleId="959">
    <w:name w:val="toc 5"/>
    <w:basedOn w:val="769"/>
    <w:next w:val="769"/>
    <w:uiPriority w:val="39"/>
    <w:unhideWhenUsed/>
    <w:pPr>
      <w:ind w:left="1134" w:firstLine="0"/>
      <w:spacing w:after="57"/>
    </w:pPr>
  </w:style>
  <w:style w:type="paragraph" w:styleId="960">
    <w:name w:val="toc 6"/>
    <w:basedOn w:val="769"/>
    <w:next w:val="769"/>
    <w:uiPriority w:val="39"/>
    <w:unhideWhenUsed/>
    <w:pPr>
      <w:ind w:left="1417" w:firstLine="0"/>
      <w:spacing w:after="57"/>
    </w:pPr>
  </w:style>
  <w:style w:type="paragraph" w:styleId="961">
    <w:name w:val="toc 7"/>
    <w:basedOn w:val="769"/>
    <w:next w:val="769"/>
    <w:uiPriority w:val="39"/>
    <w:unhideWhenUsed/>
    <w:pPr>
      <w:ind w:left="1701" w:firstLine="0"/>
      <w:spacing w:after="57"/>
    </w:pPr>
  </w:style>
  <w:style w:type="paragraph" w:styleId="962">
    <w:name w:val="toc 8"/>
    <w:basedOn w:val="769"/>
    <w:next w:val="769"/>
    <w:uiPriority w:val="39"/>
    <w:unhideWhenUsed/>
    <w:pPr>
      <w:ind w:left="1984" w:firstLine="0"/>
      <w:spacing w:after="57"/>
    </w:pPr>
  </w:style>
  <w:style w:type="paragraph" w:styleId="963">
    <w:name w:val="toc 9"/>
    <w:basedOn w:val="769"/>
    <w:next w:val="769"/>
    <w:uiPriority w:val="39"/>
    <w:unhideWhenUsed/>
    <w:pPr>
      <w:ind w:left="2268" w:firstLine="0"/>
      <w:spacing w:after="57"/>
    </w:pPr>
  </w:style>
  <w:style w:type="paragraph" w:styleId="964">
    <w:name w:val="TOC Heading"/>
    <w:uiPriority w:val="39"/>
    <w:unhideWhenUsed/>
  </w:style>
  <w:style w:type="paragraph" w:styleId="965">
    <w:name w:val="table of figures"/>
    <w:basedOn w:val="769"/>
    <w:next w:val="769"/>
    <w:uiPriority w:val="99"/>
    <w:unhideWhenUsed/>
  </w:style>
  <w:style w:type="paragraph" w:styleId="966">
    <w:name w:val="List Paragraph"/>
    <w:basedOn w:val="769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6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8">
    <w:name w:val="Plain Text"/>
    <w:basedOn w:val="769"/>
    <w:link w:val="969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969" w:customStyle="1">
    <w:name w:val="Текст Знак"/>
    <w:basedOn w:val="779"/>
    <w:link w:val="968"/>
    <w:uiPriority w:val="99"/>
    <w:semiHidden/>
    <w:rPr>
      <w:rFonts w:ascii="Calibri" w:hAnsi="Calibri"/>
      <w:szCs w:val="21"/>
    </w:rPr>
  </w:style>
  <w:style w:type="paragraph" w:styleId="970">
    <w:name w:val="Balloon Text"/>
    <w:basedOn w:val="769"/>
    <w:link w:val="971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971" w:customStyle="1">
    <w:name w:val="Текст выноски Знак"/>
    <w:basedOn w:val="779"/>
    <w:link w:val="97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kuzmischeva_iv</cp:lastModifiedBy>
  <cp:revision>36</cp:revision>
  <dcterms:created xsi:type="dcterms:W3CDTF">2018-12-12T06:03:00Z</dcterms:created>
  <dcterms:modified xsi:type="dcterms:W3CDTF">2026-02-10T05:09:55Z</dcterms:modified>
</cp:coreProperties>
</file>